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718" w:rsidRDefault="00611A3C" w:rsidP="00720536">
      <w:pPr>
        <w:spacing w:after="0" w:line="240" w:lineRule="auto"/>
        <w:jc w:val="center"/>
        <w:rPr>
          <w:b/>
        </w:rPr>
      </w:pPr>
      <w:r w:rsidRPr="00611A3C">
        <w:rPr>
          <w:b/>
        </w:rPr>
        <w:t>BME 130 BIOMEDICAL SIGNALS AND SYSTEMS</w:t>
      </w:r>
    </w:p>
    <w:p w:rsidR="000A3491" w:rsidRPr="00611A3C" w:rsidRDefault="000A3491" w:rsidP="00720536">
      <w:pPr>
        <w:spacing w:after="0" w:line="240" w:lineRule="auto"/>
        <w:jc w:val="center"/>
        <w:rPr>
          <w:b/>
        </w:rPr>
      </w:pPr>
    </w:p>
    <w:tbl>
      <w:tblPr>
        <w:tblStyle w:val="TableGrid"/>
        <w:tblW w:w="11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9286"/>
      </w:tblGrid>
      <w:tr w:rsidR="00611A3C" w:rsidTr="00611A3C">
        <w:tc>
          <w:tcPr>
            <w:tcW w:w="2076" w:type="dxa"/>
          </w:tcPr>
          <w:p w:rsidR="00611A3C" w:rsidRPr="00611A3C" w:rsidRDefault="00611A3C" w:rsidP="00720536">
            <w:pPr>
              <w:rPr>
                <w:b/>
              </w:rPr>
            </w:pPr>
            <w:r w:rsidRPr="00611A3C">
              <w:rPr>
                <w:b/>
              </w:rPr>
              <w:t>Catalog Data:</w:t>
            </w:r>
          </w:p>
        </w:tc>
        <w:tc>
          <w:tcPr>
            <w:tcW w:w="9286" w:type="dxa"/>
          </w:tcPr>
          <w:p w:rsidR="00611A3C" w:rsidRDefault="00611A3C" w:rsidP="00720536">
            <w:pPr>
              <w:jc w:val="both"/>
            </w:pPr>
            <w:commentRangeStart w:id="0"/>
            <w:r w:rsidRPr="00611A3C">
              <w:rPr>
                <w:b/>
              </w:rPr>
              <w:t>BME130 Biomedical Signals and Systems (</w:t>
            </w:r>
            <w:r w:rsidR="00E65A87">
              <w:rPr>
                <w:b/>
              </w:rPr>
              <w:t xml:space="preserve">Credit units: </w:t>
            </w:r>
            <w:r w:rsidRPr="00611A3C">
              <w:rPr>
                <w:b/>
              </w:rPr>
              <w:t>4) F.</w:t>
            </w:r>
            <w:r>
              <w:t xml:space="preserve"> Analysis of </w:t>
            </w:r>
            <w:r w:rsidRPr="00611A3C">
              <w:t>analog and digital biomedical signals; Fourier series expansions; difference and differential equations; convolution. System models: discrete-time and continuous-time linear time-invariant systems; Laplace and Fourier transforms. Analysis of signals and systems using computer programs. Prerequisites: Mathematics 2J and 3D; Statistics 8 recommended. (Design units: 1) Biomedical Engineering and Biomedical Engineering: Premedical majors have first consideration for enrollment.</w:t>
            </w:r>
            <w:commentRangeEnd w:id="0"/>
            <w:r w:rsidR="00281349">
              <w:rPr>
                <w:rStyle w:val="CommentReference"/>
              </w:rPr>
              <w:commentReference w:id="0"/>
            </w:r>
          </w:p>
        </w:tc>
      </w:tr>
      <w:tr w:rsidR="00611A3C" w:rsidTr="00611A3C">
        <w:tc>
          <w:tcPr>
            <w:tcW w:w="2076" w:type="dxa"/>
          </w:tcPr>
          <w:p w:rsidR="00611A3C" w:rsidRDefault="00611A3C" w:rsidP="00720536"/>
        </w:tc>
        <w:tc>
          <w:tcPr>
            <w:tcW w:w="9286" w:type="dxa"/>
          </w:tcPr>
          <w:p w:rsidR="00611A3C" w:rsidRDefault="00611A3C" w:rsidP="00720536"/>
        </w:tc>
      </w:tr>
      <w:tr w:rsidR="00611A3C" w:rsidTr="00611A3C">
        <w:tc>
          <w:tcPr>
            <w:tcW w:w="2076" w:type="dxa"/>
          </w:tcPr>
          <w:p w:rsidR="00611A3C" w:rsidRPr="00611A3C" w:rsidRDefault="00611A3C" w:rsidP="00720536">
            <w:pPr>
              <w:rPr>
                <w:b/>
              </w:rPr>
            </w:pPr>
            <w:r>
              <w:rPr>
                <w:b/>
              </w:rPr>
              <w:t xml:space="preserve">Required </w:t>
            </w:r>
            <w:r w:rsidRPr="00611A3C">
              <w:rPr>
                <w:b/>
              </w:rPr>
              <w:t>Textbook:</w:t>
            </w:r>
          </w:p>
        </w:tc>
        <w:tc>
          <w:tcPr>
            <w:tcW w:w="9286" w:type="dxa"/>
          </w:tcPr>
          <w:p w:rsidR="00611A3C" w:rsidRDefault="00611A3C" w:rsidP="00720536">
            <w:r>
              <w:t>None</w:t>
            </w:r>
          </w:p>
        </w:tc>
      </w:tr>
      <w:tr w:rsidR="008F444D" w:rsidTr="00611A3C">
        <w:tc>
          <w:tcPr>
            <w:tcW w:w="2076" w:type="dxa"/>
          </w:tcPr>
          <w:p w:rsidR="008F444D" w:rsidRDefault="008F444D" w:rsidP="00720536">
            <w:pPr>
              <w:rPr>
                <w:b/>
              </w:rPr>
            </w:pPr>
          </w:p>
        </w:tc>
        <w:tc>
          <w:tcPr>
            <w:tcW w:w="9286" w:type="dxa"/>
          </w:tcPr>
          <w:p w:rsidR="008F444D" w:rsidRDefault="008F444D" w:rsidP="00720536"/>
        </w:tc>
      </w:tr>
      <w:tr w:rsidR="00611A3C" w:rsidTr="00611A3C">
        <w:tc>
          <w:tcPr>
            <w:tcW w:w="2076" w:type="dxa"/>
          </w:tcPr>
          <w:p w:rsidR="00611A3C" w:rsidRDefault="00611A3C" w:rsidP="00720536">
            <w:r>
              <w:rPr>
                <w:b/>
              </w:rPr>
              <w:t xml:space="preserve">Recommended </w:t>
            </w:r>
            <w:r w:rsidRPr="00611A3C">
              <w:rPr>
                <w:b/>
              </w:rPr>
              <w:t>Textbook:</w:t>
            </w:r>
          </w:p>
        </w:tc>
        <w:tc>
          <w:tcPr>
            <w:tcW w:w="9286" w:type="dxa"/>
          </w:tcPr>
          <w:p w:rsidR="00611A3C" w:rsidRDefault="00512D02" w:rsidP="00720536">
            <w:pPr>
              <w:jc w:val="both"/>
            </w:pPr>
            <w:r w:rsidRPr="00512D02">
              <w:t>Robert B. Northrop</w:t>
            </w:r>
            <w:r>
              <w:t xml:space="preserve">, </w:t>
            </w:r>
            <w:r w:rsidRPr="00512D02">
              <w:t>Signals and Systems Analysis I</w:t>
            </w:r>
            <w:r>
              <w:t>n Biomedical Engineering, 2</w:t>
            </w:r>
            <w:r w:rsidRPr="00512D02">
              <w:rPr>
                <w:vertAlign w:val="superscript"/>
              </w:rPr>
              <w:t>nd</w:t>
            </w:r>
            <w:r>
              <w:t xml:space="preserve"> </w:t>
            </w:r>
            <w:r w:rsidRPr="00512D02">
              <w:t>Edition</w:t>
            </w:r>
            <w:r>
              <w:t xml:space="preserve">, CRC Press, 2010, </w:t>
            </w:r>
            <w:r w:rsidR="00EF6408" w:rsidRPr="00EF6408">
              <w:t>ISBN-13: 978-1439812518</w:t>
            </w:r>
            <w:r w:rsidR="00EF6408">
              <w:t>.</w:t>
            </w:r>
          </w:p>
        </w:tc>
      </w:tr>
      <w:tr w:rsidR="008F444D" w:rsidTr="00611A3C">
        <w:tc>
          <w:tcPr>
            <w:tcW w:w="2076" w:type="dxa"/>
          </w:tcPr>
          <w:p w:rsidR="008F444D" w:rsidRDefault="008F444D" w:rsidP="00720536">
            <w:pPr>
              <w:rPr>
                <w:b/>
              </w:rPr>
            </w:pPr>
          </w:p>
        </w:tc>
        <w:tc>
          <w:tcPr>
            <w:tcW w:w="9286" w:type="dxa"/>
          </w:tcPr>
          <w:p w:rsidR="008F444D" w:rsidRPr="00512D02" w:rsidRDefault="008F444D" w:rsidP="00720536">
            <w:pPr>
              <w:jc w:val="both"/>
            </w:pPr>
          </w:p>
        </w:tc>
      </w:tr>
      <w:tr w:rsidR="008F444D" w:rsidTr="00611A3C">
        <w:tc>
          <w:tcPr>
            <w:tcW w:w="2076" w:type="dxa"/>
          </w:tcPr>
          <w:p w:rsidR="008F444D" w:rsidRDefault="008F444D" w:rsidP="00720536">
            <w:pPr>
              <w:rPr>
                <w:b/>
              </w:rPr>
            </w:pPr>
            <w:r>
              <w:rPr>
                <w:b/>
              </w:rPr>
              <w:t>References:</w:t>
            </w:r>
          </w:p>
        </w:tc>
        <w:tc>
          <w:tcPr>
            <w:tcW w:w="9286" w:type="dxa"/>
          </w:tcPr>
          <w:p w:rsidR="008F444D" w:rsidRPr="00512D02" w:rsidRDefault="00257E42" w:rsidP="00720536">
            <w:pPr>
              <w:jc w:val="both"/>
            </w:pPr>
            <w:hyperlink r:id="rId7" w:history="1">
              <w:r w:rsidR="008F444D">
                <w:rPr>
                  <w:rStyle w:val="Hyperlink"/>
                </w:rPr>
                <w:t>http://www.mathworks.com/products/matlab/</w:t>
              </w:r>
            </w:hyperlink>
          </w:p>
        </w:tc>
      </w:tr>
      <w:tr w:rsidR="00C7441C" w:rsidTr="00611A3C">
        <w:tc>
          <w:tcPr>
            <w:tcW w:w="2076" w:type="dxa"/>
          </w:tcPr>
          <w:p w:rsidR="00C7441C" w:rsidRDefault="00C7441C" w:rsidP="00720536">
            <w:pPr>
              <w:rPr>
                <w:b/>
              </w:rPr>
            </w:pPr>
          </w:p>
        </w:tc>
        <w:tc>
          <w:tcPr>
            <w:tcW w:w="9286" w:type="dxa"/>
          </w:tcPr>
          <w:p w:rsidR="00C7441C" w:rsidRDefault="00C7441C" w:rsidP="00720536">
            <w:pPr>
              <w:jc w:val="both"/>
            </w:pPr>
          </w:p>
        </w:tc>
      </w:tr>
      <w:tr w:rsidR="00C7441C" w:rsidTr="00611A3C">
        <w:tc>
          <w:tcPr>
            <w:tcW w:w="2076" w:type="dxa"/>
          </w:tcPr>
          <w:p w:rsidR="00C7441C" w:rsidRDefault="00C7441C" w:rsidP="00720536">
            <w:pPr>
              <w:rPr>
                <w:b/>
              </w:rPr>
            </w:pPr>
            <w:r>
              <w:rPr>
                <w:b/>
              </w:rPr>
              <w:t>Coordinator:</w:t>
            </w:r>
          </w:p>
        </w:tc>
        <w:tc>
          <w:tcPr>
            <w:tcW w:w="9286" w:type="dxa"/>
          </w:tcPr>
          <w:p w:rsidR="00C7441C" w:rsidRDefault="00C7441C" w:rsidP="00720536">
            <w:pPr>
              <w:jc w:val="both"/>
            </w:pPr>
            <w:proofErr w:type="spellStart"/>
            <w:r>
              <w:t>Zoran</w:t>
            </w:r>
            <w:proofErr w:type="spellEnd"/>
            <w:r>
              <w:t xml:space="preserve"> </w:t>
            </w:r>
            <w:proofErr w:type="spellStart"/>
            <w:r>
              <w:t>Nenadic</w:t>
            </w:r>
            <w:proofErr w:type="spellEnd"/>
          </w:p>
        </w:tc>
      </w:tr>
    </w:tbl>
    <w:p w:rsidR="00C7441C" w:rsidRDefault="00C7441C" w:rsidP="00720536">
      <w:pPr>
        <w:spacing w:after="0" w:line="240" w:lineRule="auto"/>
      </w:pPr>
    </w:p>
    <w:p w:rsidR="00C7441C" w:rsidRPr="00DC6398" w:rsidRDefault="00C7441C" w:rsidP="00720536">
      <w:pPr>
        <w:spacing w:after="0" w:line="240" w:lineRule="auto"/>
        <w:rPr>
          <w:b/>
        </w:rPr>
      </w:pPr>
      <w:r w:rsidRPr="00DC6398">
        <w:rPr>
          <w:b/>
        </w:rPr>
        <w:t>Relationship to Student Outcomes</w:t>
      </w:r>
    </w:p>
    <w:tbl>
      <w:tblPr>
        <w:tblStyle w:val="TableGrid"/>
        <w:tblW w:w="11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9286"/>
      </w:tblGrid>
      <w:tr w:rsidR="00BC3F8B" w:rsidTr="002F003B">
        <w:tc>
          <w:tcPr>
            <w:tcW w:w="2076" w:type="dxa"/>
          </w:tcPr>
          <w:p w:rsidR="00BC3F8B" w:rsidRPr="00611A3C" w:rsidRDefault="00BC3F8B" w:rsidP="00720536">
            <w:pPr>
              <w:rPr>
                <w:b/>
              </w:rPr>
            </w:pPr>
          </w:p>
        </w:tc>
        <w:tc>
          <w:tcPr>
            <w:tcW w:w="9286" w:type="dxa"/>
          </w:tcPr>
          <w:p w:rsidR="00BC3F8B" w:rsidRPr="00BC3F8B" w:rsidRDefault="00BC3F8B" w:rsidP="00720536">
            <w:pPr>
              <w:jc w:val="both"/>
            </w:pPr>
            <w:commentRangeStart w:id="1"/>
            <w:r w:rsidRPr="00BC3F8B">
              <w:t>This course relates to Student Outcomes</w:t>
            </w:r>
            <w:r>
              <w:t>:</w:t>
            </w:r>
            <w:r w:rsidR="00221A80">
              <w:t xml:space="preserve"> EAC a, EAC k</w:t>
            </w:r>
            <w:commentRangeEnd w:id="1"/>
            <w:r w:rsidR="003C0FBE">
              <w:rPr>
                <w:rStyle w:val="CommentReference"/>
              </w:rPr>
              <w:commentReference w:id="1"/>
            </w:r>
          </w:p>
        </w:tc>
      </w:tr>
    </w:tbl>
    <w:p w:rsidR="00BC3F8B" w:rsidRDefault="00BC3F8B" w:rsidP="00720536">
      <w:pPr>
        <w:spacing w:after="0" w:line="240" w:lineRule="auto"/>
      </w:pPr>
    </w:p>
    <w:p w:rsidR="0021149D" w:rsidRDefault="00C7253B" w:rsidP="00720536">
      <w:pPr>
        <w:spacing w:after="0" w:line="240" w:lineRule="auto"/>
        <w:rPr>
          <w:b/>
        </w:rPr>
      </w:pPr>
      <w:proofErr w:type="gramStart"/>
      <w:r>
        <w:rPr>
          <w:b/>
        </w:rPr>
        <w:t>Course Learning Outcomes.</w:t>
      </w:r>
      <w:proofErr w:type="gramEnd"/>
      <w:r>
        <w:rPr>
          <w:b/>
        </w:rPr>
        <w:t xml:space="preserve"> </w:t>
      </w:r>
      <w:r w:rsidR="0021149D" w:rsidRPr="00DC6398">
        <w:rPr>
          <w:b/>
        </w:rPr>
        <w:t>Student</w:t>
      </w:r>
      <w:r w:rsidR="0021149D">
        <w:rPr>
          <w:b/>
        </w:rPr>
        <w:t>s</w:t>
      </w:r>
      <w:r w:rsidR="0021149D" w:rsidRPr="00DC6398">
        <w:rPr>
          <w:b/>
        </w:rPr>
        <w:t xml:space="preserve"> </w:t>
      </w:r>
      <w:r>
        <w:rPr>
          <w:b/>
        </w:rPr>
        <w:t>w</w:t>
      </w:r>
      <w:r w:rsidR="0021149D">
        <w:rPr>
          <w:b/>
        </w:rPr>
        <w:t>ill:</w:t>
      </w:r>
    </w:p>
    <w:tbl>
      <w:tblPr>
        <w:tblStyle w:val="TableGrid"/>
        <w:tblW w:w="11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9286"/>
      </w:tblGrid>
      <w:tr w:rsidR="00C7253B" w:rsidTr="002F003B">
        <w:tc>
          <w:tcPr>
            <w:tcW w:w="2076" w:type="dxa"/>
          </w:tcPr>
          <w:p w:rsidR="00C7253B" w:rsidRPr="00611A3C" w:rsidRDefault="00C7253B" w:rsidP="00720536">
            <w:pPr>
              <w:rPr>
                <w:b/>
              </w:rPr>
            </w:pPr>
          </w:p>
        </w:tc>
        <w:tc>
          <w:tcPr>
            <w:tcW w:w="9286" w:type="dxa"/>
          </w:tcPr>
          <w:p w:rsidR="00C7253B" w:rsidRDefault="006C19EF" w:rsidP="00720536">
            <w:pPr>
              <w:jc w:val="both"/>
            </w:pPr>
            <w:r>
              <w:t xml:space="preserve">1. </w:t>
            </w:r>
            <w:r w:rsidR="00EB488A">
              <w:t>Understand the natu</w:t>
            </w:r>
            <w:r w:rsidR="00F164F8">
              <w:t>re of common biomedical signals</w:t>
            </w:r>
            <w:r w:rsidR="00F10631">
              <w:t xml:space="preserve"> (EAC a, EAC k)</w:t>
            </w:r>
          </w:p>
          <w:p w:rsidR="00EB488A" w:rsidRDefault="006C19EF" w:rsidP="00720536">
            <w:pPr>
              <w:jc w:val="both"/>
            </w:pPr>
            <w:r>
              <w:t xml:space="preserve">2. </w:t>
            </w:r>
            <w:r w:rsidR="00EB488A">
              <w:t xml:space="preserve">Apply the essential techniques for analyzing </w:t>
            </w:r>
            <w:r w:rsidR="00F164F8">
              <w:t>analog and digital biomedical signals</w:t>
            </w:r>
            <w:r w:rsidR="00F10631">
              <w:t xml:space="preserve"> (EAC a, EAC k)</w:t>
            </w:r>
          </w:p>
          <w:p w:rsidR="00F164F8" w:rsidRDefault="006C19EF" w:rsidP="00720536">
            <w:pPr>
              <w:jc w:val="both"/>
            </w:pPr>
            <w:r>
              <w:t xml:space="preserve">3. </w:t>
            </w:r>
            <w:r w:rsidR="00F164F8">
              <w:t>Analyze linear time-invariant systems</w:t>
            </w:r>
            <w:r w:rsidR="00F10631">
              <w:t xml:space="preserve"> (EAC a, EAC k)</w:t>
            </w:r>
          </w:p>
          <w:p w:rsidR="00F164F8" w:rsidRPr="00BC3F8B" w:rsidRDefault="006C19EF" w:rsidP="00720536">
            <w:pPr>
              <w:jc w:val="both"/>
            </w:pPr>
            <w:r>
              <w:t xml:space="preserve">4. </w:t>
            </w:r>
            <w:r w:rsidR="00F164F8">
              <w:t>Develop computing skills by using MATLAB for signals analysis and system modeling</w:t>
            </w:r>
            <w:r w:rsidR="00F10631">
              <w:t xml:space="preserve"> (EAC k)</w:t>
            </w:r>
          </w:p>
        </w:tc>
      </w:tr>
    </w:tbl>
    <w:p w:rsidR="00720536" w:rsidRDefault="00720536" w:rsidP="00720536">
      <w:pPr>
        <w:spacing w:after="0" w:line="240" w:lineRule="auto"/>
        <w:rPr>
          <w:b/>
        </w:rPr>
      </w:pPr>
    </w:p>
    <w:p w:rsidR="006C19EF" w:rsidRDefault="006C19EF" w:rsidP="00720536">
      <w:pPr>
        <w:spacing w:after="0" w:line="240" w:lineRule="auto"/>
        <w:rPr>
          <w:b/>
        </w:rPr>
      </w:pPr>
      <w:r>
        <w:rPr>
          <w:b/>
        </w:rPr>
        <w:t xml:space="preserve">Prerequisites by </w:t>
      </w:r>
      <w:r w:rsidRPr="006C19EF">
        <w:rPr>
          <w:b/>
        </w:rPr>
        <w:t>Topic</w:t>
      </w:r>
    </w:p>
    <w:tbl>
      <w:tblPr>
        <w:tblStyle w:val="TableGrid"/>
        <w:tblW w:w="11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9286"/>
      </w:tblGrid>
      <w:tr w:rsidR="006C19EF" w:rsidTr="002F003B">
        <w:tc>
          <w:tcPr>
            <w:tcW w:w="2076" w:type="dxa"/>
          </w:tcPr>
          <w:p w:rsidR="006C19EF" w:rsidRPr="00611A3C" w:rsidRDefault="006C19EF" w:rsidP="00720536">
            <w:pPr>
              <w:rPr>
                <w:b/>
              </w:rPr>
            </w:pPr>
          </w:p>
        </w:tc>
        <w:tc>
          <w:tcPr>
            <w:tcW w:w="9286" w:type="dxa"/>
          </w:tcPr>
          <w:p w:rsidR="006C19EF" w:rsidRPr="00BC3F8B" w:rsidRDefault="00962670" w:rsidP="00720536">
            <w:pPr>
              <w:jc w:val="both"/>
            </w:pPr>
            <w:r w:rsidRPr="00962670">
              <w:t>Solving ordinary linear differential and difference equations, complex numbers, basic linear algebra (matrices, vectors and vector spaces, determinants), elementary calculus (integration, limits, functions of real and complex variables, understanding of infinite series).</w:t>
            </w:r>
          </w:p>
        </w:tc>
      </w:tr>
    </w:tbl>
    <w:p w:rsidR="00962670" w:rsidRDefault="00962670" w:rsidP="00720536">
      <w:pPr>
        <w:spacing w:after="0" w:line="240" w:lineRule="auto"/>
        <w:rPr>
          <w:b/>
        </w:rPr>
      </w:pPr>
    </w:p>
    <w:tbl>
      <w:tblPr>
        <w:tblStyle w:val="TableGrid"/>
        <w:tblW w:w="11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9286"/>
      </w:tblGrid>
      <w:tr w:rsidR="00012DE7" w:rsidTr="002F003B">
        <w:tc>
          <w:tcPr>
            <w:tcW w:w="2076" w:type="dxa"/>
          </w:tcPr>
          <w:p w:rsidR="00012DE7" w:rsidRPr="00611A3C" w:rsidRDefault="00B41C10" w:rsidP="00720536">
            <w:pPr>
              <w:rPr>
                <w:b/>
              </w:rPr>
            </w:pPr>
            <w:r>
              <w:rPr>
                <w:b/>
              </w:rPr>
              <w:t xml:space="preserve">Lecture </w:t>
            </w:r>
            <w:r w:rsidRPr="006C19EF">
              <w:rPr>
                <w:b/>
              </w:rPr>
              <w:t>Topic</w:t>
            </w:r>
            <w:r>
              <w:rPr>
                <w:b/>
              </w:rPr>
              <w:t>s:</w:t>
            </w:r>
          </w:p>
        </w:tc>
        <w:tc>
          <w:tcPr>
            <w:tcW w:w="9286" w:type="dxa"/>
          </w:tcPr>
          <w:p w:rsidR="00012DE7" w:rsidRDefault="00012DE7" w:rsidP="00720536">
            <w:pPr>
              <w:pStyle w:val="ListParagraph"/>
              <w:numPr>
                <w:ilvl w:val="0"/>
                <w:numId w:val="4"/>
              </w:numPr>
              <w:rPr>
                <w:noProof/>
                <w:lang w:eastAsia="zh-TW"/>
              </w:rPr>
            </w:pPr>
            <w:commentRangeStart w:id="2"/>
            <w:r>
              <w:rPr>
                <w:noProof/>
                <w:lang w:eastAsia="zh-TW"/>
              </w:rPr>
              <w:t>Definition of Systems, Signals and Variables</w:t>
            </w:r>
            <w:r w:rsidR="00342F1C">
              <w:rPr>
                <w:noProof/>
                <w:lang w:eastAsia="zh-TW"/>
              </w:rPr>
              <w:t xml:space="preserve">. </w:t>
            </w:r>
            <w:r>
              <w:rPr>
                <w:noProof/>
                <w:lang w:eastAsia="zh-TW"/>
              </w:rPr>
              <w:t>Mathematical Models</w:t>
            </w:r>
            <w:r w:rsidR="001B2E28">
              <w:rPr>
                <w:noProof/>
                <w:lang w:eastAsia="zh-TW"/>
              </w:rPr>
              <w:t>.</w:t>
            </w:r>
            <w:r w:rsidR="00342F1C">
              <w:rPr>
                <w:noProof/>
                <w:lang w:eastAsia="zh-TW"/>
              </w:rPr>
              <w:t xml:space="preserve"> (week 1)</w:t>
            </w:r>
          </w:p>
          <w:p w:rsidR="00012DE7" w:rsidRPr="00A51EBB" w:rsidRDefault="00012DE7" w:rsidP="00720536">
            <w:pPr>
              <w:pStyle w:val="ListParagraph"/>
              <w:numPr>
                <w:ilvl w:val="0"/>
                <w:numId w:val="4"/>
              </w:numPr>
              <w:rPr>
                <w:b/>
                <w:noProof/>
                <w:lang w:eastAsia="zh-TW"/>
              </w:rPr>
            </w:pPr>
            <w:r>
              <w:rPr>
                <w:noProof/>
                <w:lang w:eastAsia="zh-TW"/>
              </w:rPr>
              <w:t>Input-output and state-space models</w:t>
            </w:r>
            <w:r w:rsidR="001B2E28">
              <w:rPr>
                <w:noProof/>
                <w:lang w:eastAsia="zh-TW"/>
              </w:rPr>
              <w:t>.</w:t>
            </w:r>
            <w:r w:rsidR="001B2E28" w:rsidRPr="00A51EBB">
              <w:rPr>
                <w:b/>
                <w:noProof/>
                <w:lang w:eastAsia="zh-TW"/>
              </w:rPr>
              <w:t xml:space="preserve"> </w:t>
            </w:r>
            <w:r w:rsidRPr="00400384">
              <w:rPr>
                <w:noProof/>
                <w:lang w:eastAsia="zh-TW"/>
              </w:rPr>
              <w:t>Physiological variables and signals</w:t>
            </w:r>
            <w:r w:rsidR="001B2E28">
              <w:rPr>
                <w:noProof/>
                <w:lang w:eastAsia="zh-TW"/>
              </w:rPr>
              <w:t>. (week 2)</w:t>
            </w:r>
          </w:p>
          <w:p w:rsidR="00012DE7" w:rsidRDefault="00012DE7" w:rsidP="00720536">
            <w:pPr>
              <w:pStyle w:val="ListParagraph"/>
              <w:numPr>
                <w:ilvl w:val="0"/>
                <w:numId w:val="4"/>
              </w:numPr>
              <w:rPr>
                <w:noProof/>
                <w:lang w:eastAsia="zh-TW"/>
              </w:rPr>
            </w:pPr>
            <w:r>
              <w:rPr>
                <w:noProof/>
                <w:lang w:eastAsia="zh-TW"/>
              </w:rPr>
              <w:t>Time domain signal characteristics</w:t>
            </w:r>
            <w:r w:rsidR="00E16883">
              <w:rPr>
                <w:noProof/>
                <w:lang w:eastAsia="zh-TW"/>
              </w:rPr>
              <w:t xml:space="preserve">. </w:t>
            </w:r>
            <w:r>
              <w:rPr>
                <w:noProof/>
                <w:lang w:eastAsia="zh-TW"/>
              </w:rPr>
              <w:t>Linear systems</w:t>
            </w:r>
            <w:r w:rsidR="00E16883">
              <w:rPr>
                <w:noProof/>
                <w:lang w:eastAsia="zh-TW"/>
              </w:rPr>
              <w:t>. (week 3)</w:t>
            </w:r>
          </w:p>
          <w:p w:rsidR="00012DE7" w:rsidRDefault="00012DE7" w:rsidP="00720536">
            <w:pPr>
              <w:pStyle w:val="ListParagraph"/>
              <w:numPr>
                <w:ilvl w:val="0"/>
                <w:numId w:val="4"/>
              </w:numPr>
              <w:rPr>
                <w:noProof/>
                <w:lang w:eastAsia="zh-TW"/>
              </w:rPr>
            </w:pPr>
            <w:r>
              <w:rPr>
                <w:noProof/>
                <w:lang w:eastAsia="zh-TW"/>
              </w:rPr>
              <w:t>Time-invariance</w:t>
            </w:r>
            <w:r w:rsidR="00563FA3">
              <w:rPr>
                <w:noProof/>
                <w:lang w:eastAsia="zh-TW"/>
              </w:rPr>
              <w:t xml:space="preserve">. </w:t>
            </w:r>
            <w:r>
              <w:rPr>
                <w:noProof/>
                <w:lang w:eastAsia="zh-TW"/>
              </w:rPr>
              <w:t>Review of ordinary differential equations</w:t>
            </w:r>
            <w:r w:rsidR="00563FA3">
              <w:rPr>
                <w:noProof/>
                <w:lang w:eastAsia="zh-TW"/>
              </w:rPr>
              <w:t>. (week 4)</w:t>
            </w:r>
          </w:p>
          <w:p w:rsidR="00012DE7" w:rsidRDefault="00012DE7" w:rsidP="00720536">
            <w:pPr>
              <w:pStyle w:val="ListParagraph"/>
              <w:numPr>
                <w:ilvl w:val="0"/>
                <w:numId w:val="4"/>
              </w:numPr>
              <w:rPr>
                <w:noProof/>
                <w:lang w:eastAsia="zh-TW"/>
              </w:rPr>
            </w:pPr>
            <w:r>
              <w:rPr>
                <w:noProof/>
                <w:lang w:eastAsia="zh-TW"/>
              </w:rPr>
              <w:t>Time domain response of linear time invariant (LTI) systems</w:t>
            </w:r>
            <w:r w:rsidR="006E2B01">
              <w:rPr>
                <w:noProof/>
                <w:lang w:eastAsia="zh-TW"/>
              </w:rPr>
              <w:t xml:space="preserve">. </w:t>
            </w:r>
            <w:r>
              <w:rPr>
                <w:noProof/>
                <w:lang w:eastAsia="zh-TW"/>
              </w:rPr>
              <w:t>Convolution</w:t>
            </w:r>
            <w:r w:rsidR="006E2B01">
              <w:rPr>
                <w:noProof/>
                <w:lang w:eastAsia="zh-TW"/>
              </w:rPr>
              <w:t>. C</w:t>
            </w:r>
            <w:r>
              <w:rPr>
                <w:noProof/>
                <w:lang w:eastAsia="zh-TW"/>
              </w:rPr>
              <w:t>ausality</w:t>
            </w:r>
            <w:r w:rsidR="006E2B01">
              <w:rPr>
                <w:noProof/>
                <w:lang w:eastAsia="zh-TW"/>
              </w:rPr>
              <w:t>. (week 5)</w:t>
            </w:r>
          </w:p>
          <w:p w:rsidR="00012DE7" w:rsidRDefault="00012DE7" w:rsidP="00720536">
            <w:pPr>
              <w:pStyle w:val="ListParagraph"/>
              <w:numPr>
                <w:ilvl w:val="0"/>
                <w:numId w:val="4"/>
              </w:numPr>
              <w:rPr>
                <w:noProof/>
                <w:lang w:eastAsia="zh-TW"/>
              </w:rPr>
            </w:pPr>
            <w:r>
              <w:rPr>
                <w:noProof/>
                <w:lang w:eastAsia="zh-TW"/>
              </w:rPr>
              <w:t>Comparative review of continuous and discrete LTI systems</w:t>
            </w:r>
            <w:r w:rsidR="00454C9A">
              <w:rPr>
                <w:noProof/>
                <w:lang w:eastAsia="zh-TW"/>
              </w:rPr>
              <w:t>.</w:t>
            </w:r>
            <w:r>
              <w:rPr>
                <w:noProof/>
                <w:lang w:eastAsia="zh-TW"/>
              </w:rPr>
              <w:t xml:space="preserve"> Laplace transform</w:t>
            </w:r>
            <w:r w:rsidR="00454C9A">
              <w:rPr>
                <w:noProof/>
                <w:lang w:eastAsia="zh-TW"/>
              </w:rPr>
              <w:t>. (week 6)</w:t>
            </w:r>
          </w:p>
          <w:p w:rsidR="00012DE7" w:rsidRDefault="00012DE7" w:rsidP="00720536">
            <w:pPr>
              <w:pStyle w:val="ListParagraph"/>
              <w:numPr>
                <w:ilvl w:val="0"/>
                <w:numId w:val="4"/>
              </w:numPr>
              <w:rPr>
                <w:noProof/>
                <w:lang w:eastAsia="zh-TW"/>
              </w:rPr>
            </w:pPr>
            <w:r>
              <w:rPr>
                <w:noProof/>
                <w:lang w:eastAsia="zh-TW"/>
              </w:rPr>
              <w:t>Transfer function</w:t>
            </w:r>
            <w:r w:rsidR="00E3153E">
              <w:rPr>
                <w:noProof/>
                <w:lang w:eastAsia="zh-TW"/>
              </w:rPr>
              <w:t xml:space="preserve">. Equilibrium. </w:t>
            </w:r>
            <w:r>
              <w:rPr>
                <w:noProof/>
                <w:lang w:eastAsia="zh-TW"/>
              </w:rPr>
              <w:t>Stability</w:t>
            </w:r>
            <w:r w:rsidR="00E3153E">
              <w:rPr>
                <w:noProof/>
                <w:lang w:eastAsia="zh-TW"/>
              </w:rPr>
              <w:t>. (week 7)</w:t>
            </w:r>
          </w:p>
          <w:p w:rsidR="00012DE7" w:rsidRDefault="00012DE7" w:rsidP="00720536">
            <w:pPr>
              <w:pStyle w:val="ListParagraph"/>
              <w:numPr>
                <w:ilvl w:val="0"/>
                <w:numId w:val="4"/>
              </w:numPr>
              <w:rPr>
                <w:noProof/>
                <w:lang w:eastAsia="zh-TW"/>
              </w:rPr>
            </w:pPr>
            <w:r>
              <w:rPr>
                <w:noProof/>
                <w:lang w:eastAsia="zh-TW"/>
              </w:rPr>
              <w:t>Frequency response</w:t>
            </w:r>
            <w:r w:rsidR="00E3153E">
              <w:rPr>
                <w:noProof/>
                <w:lang w:eastAsia="zh-TW"/>
              </w:rPr>
              <w:t>. Bode plot (week 8)</w:t>
            </w:r>
          </w:p>
          <w:p w:rsidR="00012DE7" w:rsidRDefault="00012DE7" w:rsidP="00720536">
            <w:pPr>
              <w:pStyle w:val="ListParagraph"/>
              <w:numPr>
                <w:ilvl w:val="0"/>
                <w:numId w:val="4"/>
              </w:numPr>
              <w:rPr>
                <w:noProof/>
                <w:lang w:eastAsia="zh-TW"/>
              </w:rPr>
            </w:pPr>
            <w:r>
              <w:rPr>
                <w:noProof/>
                <w:lang w:eastAsia="zh-TW"/>
              </w:rPr>
              <w:t>Fourier transform</w:t>
            </w:r>
            <w:r w:rsidR="00E3153E">
              <w:rPr>
                <w:noProof/>
                <w:lang w:eastAsia="zh-TW"/>
              </w:rPr>
              <w:t xml:space="preserve">. Fast Fourier transform and </w:t>
            </w:r>
            <w:r>
              <w:rPr>
                <w:noProof/>
                <w:lang w:eastAsia="zh-TW"/>
              </w:rPr>
              <w:t>power spectrum</w:t>
            </w:r>
            <w:r w:rsidR="00E3153E">
              <w:rPr>
                <w:noProof/>
                <w:lang w:eastAsia="zh-TW"/>
              </w:rPr>
              <w:t>. (week 9)</w:t>
            </w:r>
          </w:p>
          <w:p w:rsidR="00012DE7" w:rsidRPr="00BC3F8B" w:rsidRDefault="00012DE7" w:rsidP="00720536">
            <w:pPr>
              <w:pStyle w:val="ListParagraph"/>
              <w:numPr>
                <w:ilvl w:val="0"/>
                <w:numId w:val="4"/>
              </w:numPr>
              <w:rPr>
                <w:noProof/>
                <w:lang w:eastAsia="zh-TW"/>
              </w:rPr>
            </w:pPr>
            <w:r>
              <w:rPr>
                <w:noProof/>
                <w:lang w:eastAsia="zh-TW"/>
              </w:rPr>
              <w:t>Time-frequency analysis</w:t>
            </w:r>
            <w:r w:rsidR="00E3153E">
              <w:rPr>
                <w:noProof/>
                <w:lang w:eastAsia="zh-TW"/>
              </w:rPr>
              <w:t xml:space="preserve">. </w:t>
            </w:r>
            <w:r>
              <w:rPr>
                <w:noProof/>
                <w:lang w:eastAsia="zh-TW"/>
              </w:rPr>
              <w:t>The sampling theorem</w:t>
            </w:r>
            <w:r w:rsidR="00E3153E">
              <w:rPr>
                <w:noProof/>
                <w:lang w:eastAsia="zh-TW"/>
              </w:rPr>
              <w:t>. Random signals and</w:t>
            </w:r>
            <w:r>
              <w:rPr>
                <w:noProof/>
                <w:lang w:eastAsia="zh-TW"/>
              </w:rPr>
              <w:t xml:space="preserve"> denoising</w:t>
            </w:r>
            <w:r w:rsidR="00E3153E">
              <w:rPr>
                <w:noProof/>
                <w:lang w:eastAsia="zh-TW"/>
              </w:rPr>
              <w:t>. (week 10)</w:t>
            </w:r>
            <w:commentRangeEnd w:id="2"/>
            <w:r w:rsidR="00CC0510">
              <w:rPr>
                <w:rStyle w:val="CommentReference"/>
              </w:rPr>
              <w:commentReference w:id="2"/>
            </w:r>
          </w:p>
        </w:tc>
      </w:tr>
    </w:tbl>
    <w:p w:rsidR="00B41C10" w:rsidRDefault="00B41C10" w:rsidP="00720536">
      <w:pPr>
        <w:tabs>
          <w:tab w:val="left" w:pos="4710"/>
        </w:tabs>
        <w:spacing w:after="0" w:line="240" w:lineRule="auto"/>
        <w:rPr>
          <w:b/>
        </w:rPr>
      </w:pPr>
    </w:p>
    <w:tbl>
      <w:tblPr>
        <w:tblStyle w:val="TableGrid"/>
        <w:tblW w:w="11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9286"/>
      </w:tblGrid>
      <w:tr w:rsidR="00B41C10" w:rsidTr="006C11B1">
        <w:tc>
          <w:tcPr>
            <w:tcW w:w="2076" w:type="dxa"/>
          </w:tcPr>
          <w:p w:rsidR="00B41C10" w:rsidRPr="00611A3C" w:rsidRDefault="00B41C10" w:rsidP="00720536">
            <w:pPr>
              <w:rPr>
                <w:b/>
              </w:rPr>
            </w:pPr>
            <w:r>
              <w:rPr>
                <w:b/>
              </w:rPr>
              <w:t>Class Schedule:</w:t>
            </w:r>
            <w:r>
              <w:rPr>
                <w:b/>
              </w:rPr>
              <w:tab/>
              <w:t xml:space="preserve">           </w:t>
            </w:r>
          </w:p>
        </w:tc>
        <w:tc>
          <w:tcPr>
            <w:tcW w:w="9286" w:type="dxa"/>
          </w:tcPr>
          <w:p w:rsidR="00B41C10" w:rsidRPr="00BC3F8B" w:rsidRDefault="00B41C10" w:rsidP="00720536">
            <w:r>
              <w:t xml:space="preserve">Meets for 3 hours of lecture and 1 hour of discussion each week for 10 </w:t>
            </w:r>
            <w:r w:rsidRPr="00A51EBB">
              <w:t>weeks.</w:t>
            </w:r>
          </w:p>
        </w:tc>
      </w:tr>
    </w:tbl>
    <w:p w:rsidR="00012DE7" w:rsidRDefault="0072227D" w:rsidP="00720536">
      <w:pPr>
        <w:tabs>
          <w:tab w:val="left" w:pos="4710"/>
        </w:tabs>
        <w:spacing w:after="0" w:line="240" w:lineRule="auto"/>
        <w:rPr>
          <w:b/>
        </w:rPr>
      </w:pPr>
      <w:r>
        <w:rPr>
          <w:b/>
        </w:rPr>
        <w:tab/>
      </w:r>
    </w:p>
    <w:tbl>
      <w:tblPr>
        <w:tblStyle w:val="TableGrid"/>
        <w:tblW w:w="11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9286"/>
      </w:tblGrid>
      <w:tr w:rsidR="00B41C10" w:rsidTr="006C11B1">
        <w:tc>
          <w:tcPr>
            <w:tcW w:w="2076" w:type="dxa"/>
          </w:tcPr>
          <w:p w:rsidR="00B41C10" w:rsidRPr="00611A3C" w:rsidRDefault="00B41C10" w:rsidP="00720536">
            <w:pPr>
              <w:rPr>
                <w:b/>
              </w:rPr>
            </w:pPr>
            <w:r>
              <w:rPr>
                <w:b/>
              </w:rPr>
              <w:t xml:space="preserve">Computer Usage:        </w:t>
            </w:r>
          </w:p>
        </w:tc>
        <w:tc>
          <w:tcPr>
            <w:tcW w:w="9286" w:type="dxa"/>
          </w:tcPr>
          <w:p w:rsidR="00B41C10" w:rsidRPr="00BC3F8B" w:rsidRDefault="00B41C10" w:rsidP="00720536">
            <w:commentRangeStart w:id="3"/>
            <w:r w:rsidRPr="0072227D">
              <w:t>Basic knowledge of</w:t>
            </w:r>
            <w:r>
              <w:rPr>
                <w:b/>
              </w:rPr>
              <w:t xml:space="preserve"> </w:t>
            </w:r>
            <w:r w:rsidRPr="0072227D">
              <w:t>MATLAB</w:t>
            </w:r>
            <w:r w:rsidRPr="00A51EBB">
              <w:t>.</w:t>
            </w:r>
            <w:commentRangeEnd w:id="3"/>
            <w:r>
              <w:rPr>
                <w:rStyle w:val="CommentReference"/>
              </w:rPr>
              <w:commentReference w:id="3"/>
            </w:r>
          </w:p>
        </w:tc>
      </w:tr>
    </w:tbl>
    <w:p w:rsidR="00D03815" w:rsidRDefault="00D03815" w:rsidP="00720536">
      <w:pPr>
        <w:spacing w:after="0" w:line="240" w:lineRule="auto"/>
      </w:pPr>
    </w:p>
    <w:tbl>
      <w:tblPr>
        <w:tblStyle w:val="TableGrid"/>
        <w:tblW w:w="11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9286"/>
      </w:tblGrid>
      <w:tr w:rsidR="00B41C10" w:rsidTr="006C11B1">
        <w:tc>
          <w:tcPr>
            <w:tcW w:w="2076" w:type="dxa"/>
          </w:tcPr>
          <w:p w:rsidR="00B41C10" w:rsidRPr="00611A3C" w:rsidRDefault="00B41C10" w:rsidP="00720536">
            <w:pPr>
              <w:rPr>
                <w:b/>
              </w:rPr>
            </w:pPr>
            <w:r>
              <w:rPr>
                <w:b/>
              </w:rPr>
              <w:t xml:space="preserve">Laboratory Projects:   </w:t>
            </w:r>
          </w:p>
        </w:tc>
        <w:tc>
          <w:tcPr>
            <w:tcW w:w="9286" w:type="dxa"/>
          </w:tcPr>
          <w:p w:rsidR="00B41C10" w:rsidRPr="00BC3F8B" w:rsidRDefault="00B41C10" w:rsidP="00720536">
            <w:pPr>
              <w:jc w:val="both"/>
            </w:pPr>
            <w:r>
              <w:t xml:space="preserve">None </w:t>
            </w:r>
          </w:p>
        </w:tc>
      </w:tr>
    </w:tbl>
    <w:p w:rsidR="00B41C10" w:rsidRDefault="00B41C10" w:rsidP="00720536">
      <w:pPr>
        <w:spacing w:after="0" w:line="240" w:lineRule="auto"/>
      </w:pPr>
    </w:p>
    <w:p w:rsidR="00D03815" w:rsidRDefault="00D03815" w:rsidP="00720536">
      <w:pPr>
        <w:spacing w:after="0" w:line="240" w:lineRule="auto"/>
        <w:rPr>
          <w:b/>
        </w:rPr>
      </w:pPr>
      <w:r>
        <w:rPr>
          <w:b/>
        </w:rPr>
        <w:t>Professional Component</w:t>
      </w:r>
    </w:p>
    <w:tbl>
      <w:tblPr>
        <w:tblStyle w:val="TableGrid"/>
        <w:tblW w:w="11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9286"/>
      </w:tblGrid>
      <w:tr w:rsidR="00F37EEA" w:rsidTr="002F003B">
        <w:tc>
          <w:tcPr>
            <w:tcW w:w="2076" w:type="dxa"/>
          </w:tcPr>
          <w:p w:rsidR="00F37EEA" w:rsidRPr="00611A3C" w:rsidRDefault="00F37EEA" w:rsidP="00720536">
            <w:pPr>
              <w:rPr>
                <w:b/>
              </w:rPr>
            </w:pPr>
          </w:p>
        </w:tc>
        <w:tc>
          <w:tcPr>
            <w:tcW w:w="9286" w:type="dxa"/>
          </w:tcPr>
          <w:p w:rsidR="00F37EEA" w:rsidRPr="00BC3F8B" w:rsidRDefault="00F37EEA" w:rsidP="00720536">
            <w:pPr>
              <w:jc w:val="both"/>
            </w:pPr>
            <w:r>
              <w:t xml:space="preserve">Contributes toward the Biomedical Engineering </w:t>
            </w:r>
            <w:r w:rsidR="00806614">
              <w:t xml:space="preserve">and Biomedical Engineering: Premedical </w:t>
            </w:r>
            <w:r>
              <w:t>topics courses and major design experience</w:t>
            </w:r>
            <w:r w:rsidR="000825FC">
              <w:t>.</w:t>
            </w:r>
            <w:r>
              <w:t xml:space="preserve"> </w:t>
            </w:r>
          </w:p>
        </w:tc>
      </w:tr>
    </w:tbl>
    <w:p w:rsidR="00E00EC5" w:rsidRDefault="00E00EC5" w:rsidP="00720536">
      <w:pPr>
        <w:spacing w:after="0" w:line="240" w:lineRule="auto"/>
        <w:rPr>
          <w:b/>
        </w:rPr>
      </w:pPr>
    </w:p>
    <w:p w:rsidR="00720536" w:rsidRDefault="00720536" w:rsidP="00720536">
      <w:pPr>
        <w:spacing w:after="0" w:line="240" w:lineRule="auto"/>
        <w:rPr>
          <w:b/>
        </w:rPr>
      </w:pPr>
    </w:p>
    <w:p w:rsidR="00E00EC5" w:rsidRDefault="00E00EC5" w:rsidP="00720536">
      <w:pPr>
        <w:spacing w:after="0" w:line="240" w:lineRule="auto"/>
        <w:rPr>
          <w:b/>
        </w:rPr>
      </w:pPr>
      <w:r>
        <w:rPr>
          <w:b/>
        </w:rPr>
        <w:t>Design Content Description</w:t>
      </w:r>
    </w:p>
    <w:tbl>
      <w:tblPr>
        <w:tblStyle w:val="TableGrid"/>
        <w:tblW w:w="11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9286"/>
      </w:tblGrid>
      <w:tr w:rsidR="00E00EC5" w:rsidTr="002F003B">
        <w:tc>
          <w:tcPr>
            <w:tcW w:w="2076" w:type="dxa"/>
          </w:tcPr>
          <w:p w:rsidR="00E00EC5" w:rsidRPr="00611A3C" w:rsidRDefault="00E00EC5" w:rsidP="00720536">
            <w:pPr>
              <w:rPr>
                <w:b/>
              </w:rPr>
            </w:pPr>
          </w:p>
        </w:tc>
        <w:tc>
          <w:tcPr>
            <w:tcW w:w="9286" w:type="dxa"/>
          </w:tcPr>
          <w:p w:rsidR="00A70CDB" w:rsidRDefault="00DC4306" w:rsidP="00720536">
            <w:pPr>
              <w:jc w:val="both"/>
            </w:pPr>
            <w:commentRangeStart w:id="4"/>
            <w:r w:rsidRPr="00DC4306">
              <w:rPr>
                <w:b/>
                <w:i/>
              </w:rPr>
              <w:t>Approach</w:t>
            </w:r>
            <w:r>
              <w:t xml:space="preserve">: </w:t>
            </w:r>
            <w:r w:rsidR="00A70CDB">
              <w:t xml:space="preserve">The design skills are developed and tested through a number of homework problems such as: </w:t>
            </w:r>
          </w:p>
          <w:p w:rsidR="00A70CDB" w:rsidRDefault="00A70CDB" w:rsidP="00720536">
            <w:pPr>
              <w:pStyle w:val="ListParagraph"/>
              <w:numPr>
                <w:ilvl w:val="0"/>
                <w:numId w:val="5"/>
              </w:numPr>
              <w:jc w:val="both"/>
            </w:pPr>
            <w:r>
              <w:t>design of signal samplers so that the periodicity of a signal is preserved after discretization</w:t>
            </w:r>
          </w:p>
          <w:p w:rsidR="00A70CDB" w:rsidRDefault="00A70CDB" w:rsidP="00720536">
            <w:pPr>
              <w:pStyle w:val="ListParagraph"/>
              <w:numPr>
                <w:ilvl w:val="0"/>
                <w:numId w:val="5"/>
              </w:numPr>
              <w:jc w:val="both"/>
            </w:pPr>
            <w:r>
              <w:t>determining personalized drug injection rate that guarantees given steady-state drug concentration</w:t>
            </w:r>
          </w:p>
          <w:p w:rsidR="00A70CDB" w:rsidRDefault="00A70CDB" w:rsidP="00720536">
            <w:pPr>
              <w:pStyle w:val="ListParagraph"/>
              <w:numPr>
                <w:ilvl w:val="0"/>
                <w:numId w:val="5"/>
              </w:numPr>
              <w:jc w:val="both"/>
            </w:pPr>
            <w:r>
              <w:t>determining hormone’s loss rate constant given concentrations at different points in time</w:t>
            </w:r>
          </w:p>
          <w:p w:rsidR="00A70CDB" w:rsidRDefault="00A70CDB" w:rsidP="00720536">
            <w:pPr>
              <w:pStyle w:val="ListParagraph"/>
              <w:numPr>
                <w:ilvl w:val="0"/>
                <w:numId w:val="5"/>
              </w:numPr>
              <w:jc w:val="both"/>
            </w:pPr>
            <w:r>
              <w:t>design a pendulum clock so that its oscillation period matches the specifications</w:t>
            </w:r>
          </w:p>
          <w:p w:rsidR="00A70CDB" w:rsidRDefault="00A70CDB" w:rsidP="00720536">
            <w:pPr>
              <w:pStyle w:val="ListParagraph"/>
              <w:numPr>
                <w:ilvl w:val="0"/>
                <w:numId w:val="5"/>
              </w:numPr>
              <w:jc w:val="both"/>
            </w:pPr>
            <w:r>
              <w:t>design a strategy for glucose intake that will prevent pre-diabetic response</w:t>
            </w:r>
          </w:p>
          <w:p w:rsidR="00A70CDB" w:rsidRDefault="00A70CDB" w:rsidP="00720536">
            <w:pPr>
              <w:pStyle w:val="ListParagraph"/>
              <w:numPr>
                <w:ilvl w:val="0"/>
                <w:numId w:val="5"/>
              </w:numPr>
              <w:jc w:val="both"/>
            </w:pPr>
            <w:r>
              <w:t>design a feedback controller to stabilize an open-loop unstable system</w:t>
            </w:r>
          </w:p>
          <w:p w:rsidR="00A70CDB" w:rsidRDefault="00A70CDB" w:rsidP="00720536">
            <w:pPr>
              <w:pStyle w:val="ListParagraph"/>
              <w:numPr>
                <w:ilvl w:val="0"/>
                <w:numId w:val="5"/>
              </w:numPr>
              <w:jc w:val="both"/>
            </w:pPr>
            <w:r>
              <w:t xml:space="preserve">determining parameters of the transfer function given its Bode plot </w:t>
            </w:r>
          </w:p>
          <w:p w:rsidR="00DC4306" w:rsidRDefault="00A70CDB" w:rsidP="00720536">
            <w:pPr>
              <w:pStyle w:val="ListParagraph"/>
              <w:numPr>
                <w:ilvl w:val="0"/>
                <w:numId w:val="5"/>
              </w:numPr>
              <w:jc w:val="both"/>
            </w:pPr>
            <w:r>
              <w:t xml:space="preserve">design a low-pass filter that attenuates particular high-frequencies from a signal with a specific attenuation factor  </w:t>
            </w:r>
            <w:commentRangeEnd w:id="4"/>
            <w:r w:rsidR="00FC10B9">
              <w:rPr>
                <w:rStyle w:val="CommentReference"/>
              </w:rPr>
              <w:commentReference w:id="4"/>
            </w:r>
          </w:p>
          <w:p w:rsidR="00E00EC5" w:rsidRDefault="00DC4306" w:rsidP="00720536">
            <w:pPr>
              <w:jc w:val="both"/>
            </w:pPr>
            <w:r w:rsidRPr="00DC4306">
              <w:rPr>
                <w:b/>
                <w:i/>
              </w:rPr>
              <w:t>Homework</w:t>
            </w:r>
            <w:r>
              <w:t>: 100%</w:t>
            </w:r>
          </w:p>
          <w:p w:rsidR="00DC4306" w:rsidRDefault="00DC4306" w:rsidP="00720536">
            <w:pPr>
              <w:jc w:val="both"/>
            </w:pPr>
            <w:r w:rsidRPr="00DC4306">
              <w:rPr>
                <w:b/>
                <w:i/>
              </w:rPr>
              <w:t>Lectures</w:t>
            </w:r>
            <w:r>
              <w:t>: 0%</w:t>
            </w:r>
          </w:p>
          <w:p w:rsidR="00DC4306" w:rsidRPr="00BC3F8B" w:rsidRDefault="00DC4306" w:rsidP="00720536">
            <w:pPr>
              <w:jc w:val="both"/>
            </w:pPr>
            <w:r w:rsidRPr="00DC4306">
              <w:rPr>
                <w:b/>
                <w:i/>
              </w:rPr>
              <w:t>Laboratory</w:t>
            </w:r>
            <w:r>
              <w:t>: NA</w:t>
            </w:r>
          </w:p>
        </w:tc>
      </w:tr>
    </w:tbl>
    <w:p w:rsidR="00E00EC5" w:rsidRDefault="00E00EC5" w:rsidP="00720536">
      <w:pPr>
        <w:spacing w:after="0" w:line="240" w:lineRule="auto"/>
        <w:rPr>
          <w:b/>
        </w:rPr>
      </w:pPr>
    </w:p>
    <w:p w:rsidR="00FC10B9" w:rsidRDefault="00FC10B9" w:rsidP="00720536">
      <w:pPr>
        <w:spacing w:after="0" w:line="240" w:lineRule="auto"/>
        <w:rPr>
          <w:b/>
        </w:rPr>
      </w:pPr>
      <w:r>
        <w:rPr>
          <w:b/>
        </w:rPr>
        <w:t>Grading Criteria:</w:t>
      </w:r>
    </w:p>
    <w:tbl>
      <w:tblPr>
        <w:tblStyle w:val="TableGrid"/>
        <w:tblW w:w="5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9"/>
        <w:gridCol w:w="2616"/>
        <w:gridCol w:w="1035"/>
      </w:tblGrid>
      <w:tr w:rsidR="00720536" w:rsidTr="00720536">
        <w:tc>
          <w:tcPr>
            <w:tcW w:w="2076" w:type="dxa"/>
          </w:tcPr>
          <w:p w:rsidR="00720536" w:rsidRPr="00611A3C" w:rsidRDefault="00720536" w:rsidP="00720536">
            <w:pPr>
              <w:rPr>
                <w:b/>
              </w:rPr>
            </w:pPr>
          </w:p>
        </w:tc>
        <w:tc>
          <w:tcPr>
            <w:tcW w:w="2646" w:type="dxa"/>
          </w:tcPr>
          <w:p w:rsidR="00720536" w:rsidRDefault="00720536" w:rsidP="00720536">
            <w:pPr>
              <w:pStyle w:val="ListParagraph"/>
              <w:numPr>
                <w:ilvl w:val="0"/>
                <w:numId w:val="6"/>
              </w:numPr>
              <w:jc w:val="both"/>
            </w:pPr>
            <w:commentRangeStart w:id="5"/>
            <w:r>
              <w:t xml:space="preserve">Homework:  </w:t>
            </w:r>
          </w:p>
          <w:p w:rsidR="00720536" w:rsidRDefault="00720536" w:rsidP="00720536">
            <w:pPr>
              <w:pStyle w:val="ListParagraph"/>
              <w:numPr>
                <w:ilvl w:val="0"/>
                <w:numId w:val="6"/>
              </w:numPr>
              <w:jc w:val="both"/>
            </w:pPr>
            <w:r>
              <w:t xml:space="preserve">Midterm #1: </w:t>
            </w:r>
          </w:p>
          <w:p w:rsidR="00720536" w:rsidRDefault="00720536" w:rsidP="00720536">
            <w:pPr>
              <w:pStyle w:val="ListParagraph"/>
              <w:numPr>
                <w:ilvl w:val="0"/>
                <w:numId w:val="6"/>
              </w:numPr>
              <w:jc w:val="both"/>
            </w:pPr>
            <w:r>
              <w:t xml:space="preserve">Midterm #2: </w:t>
            </w:r>
          </w:p>
          <w:p w:rsidR="00720536" w:rsidRDefault="00720536" w:rsidP="00720536">
            <w:pPr>
              <w:pStyle w:val="ListParagraph"/>
              <w:numPr>
                <w:ilvl w:val="0"/>
                <w:numId w:val="6"/>
              </w:numPr>
              <w:jc w:val="both"/>
            </w:pPr>
            <w:r>
              <w:t xml:space="preserve">Final Exam:   </w:t>
            </w:r>
          </w:p>
          <w:p w:rsidR="00720536" w:rsidRPr="00BC3F8B" w:rsidRDefault="00720536" w:rsidP="00720536">
            <w:pPr>
              <w:pStyle w:val="ListParagraph"/>
              <w:numPr>
                <w:ilvl w:val="0"/>
                <w:numId w:val="6"/>
              </w:numPr>
              <w:jc w:val="both"/>
            </w:pPr>
            <w:r>
              <w:t xml:space="preserve">Total:            </w:t>
            </w:r>
          </w:p>
        </w:tc>
        <w:tc>
          <w:tcPr>
            <w:tcW w:w="818" w:type="dxa"/>
          </w:tcPr>
          <w:p w:rsidR="00720536" w:rsidRDefault="00720536" w:rsidP="00720536">
            <w:pPr>
              <w:jc w:val="right"/>
            </w:pPr>
            <w:r>
              <w:t>20%</w:t>
            </w:r>
          </w:p>
          <w:p w:rsidR="00720536" w:rsidRDefault="00720536" w:rsidP="00720536">
            <w:pPr>
              <w:jc w:val="right"/>
            </w:pPr>
            <w:r>
              <w:t>25%</w:t>
            </w:r>
          </w:p>
          <w:p w:rsidR="00720536" w:rsidRDefault="00720536" w:rsidP="00720536">
            <w:pPr>
              <w:jc w:val="right"/>
            </w:pPr>
            <w:r>
              <w:t>25%</w:t>
            </w:r>
          </w:p>
          <w:p w:rsidR="00720536" w:rsidRDefault="00720536" w:rsidP="00720536">
            <w:pPr>
              <w:jc w:val="right"/>
            </w:pPr>
            <w:r>
              <w:t>30%</w:t>
            </w:r>
          </w:p>
          <w:p w:rsidR="00720536" w:rsidRDefault="00720536" w:rsidP="00720536">
            <w:pPr>
              <w:jc w:val="right"/>
            </w:pPr>
            <w:r>
              <w:t>100%</w:t>
            </w:r>
            <w:commentRangeEnd w:id="5"/>
            <w:r>
              <w:rPr>
                <w:rStyle w:val="CommentReference"/>
              </w:rPr>
              <w:commentReference w:id="5"/>
            </w:r>
          </w:p>
        </w:tc>
      </w:tr>
    </w:tbl>
    <w:p w:rsidR="00E65A87" w:rsidRDefault="00E65A87" w:rsidP="00720536">
      <w:pPr>
        <w:spacing w:after="0" w:line="240" w:lineRule="auto"/>
        <w:rPr>
          <w:b/>
        </w:rPr>
      </w:pPr>
    </w:p>
    <w:p w:rsidR="00E65A87" w:rsidRDefault="00E65A87" w:rsidP="00720536">
      <w:pPr>
        <w:spacing w:after="0" w:line="240" w:lineRule="auto"/>
        <w:rPr>
          <w:b/>
        </w:rPr>
      </w:pPr>
      <w:r>
        <w:rPr>
          <w:b/>
        </w:rPr>
        <w:t>Estimated ABET Category Content:</w:t>
      </w:r>
    </w:p>
    <w:tbl>
      <w:tblPr>
        <w:tblStyle w:val="TableGrid"/>
        <w:tblW w:w="11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3653"/>
        <w:gridCol w:w="5629"/>
      </w:tblGrid>
      <w:tr w:rsidR="003A558B" w:rsidTr="003A558B">
        <w:tc>
          <w:tcPr>
            <w:tcW w:w="2076" w:type="dxa"/>
          </w:tcPr>
          <w:p w:rsidR="003A558B" w:rsidRPr="00611A3C" w:rsidRDefault="003A558B" w:rsidP="00720536">
            <w:pPr>
              <w:rPr>
                <w:b/>
              </w:rPr>
            </w:pPr>
          </w:p>
        </w:tc>
        <w:tc>
          <w:tcPr>
            <w:tcW w:w="3653" w:type="dxa"/>
          </w:tcPr>
          <w:p w:rsidR="003A558B" w:rsidRDefault="003A558B" w:rsidP="00720536">
            <w:pPr>
              <w:jc w:val="both"/>
            </w:pPr>
            <w:r>
              <w:t xml:space="preserve">Mathematics and Basic Science:  </w:t>
            </w:r>
          </w:p>
          <w:p w:rsidR="003A558B" w:rsidRDefault="003A558B" w:rsidP="00720536">
            <w:pPr>
              <w:jc w:val="both"/>
            </w:pPr>
            <w:r>
              <w:t xml:space="preserve">Engineering Science:                      </w:t>
            </w:r>
          </w:p>
          <w:p w:rsidR="003A558B" w:rsidRPr="00BC3F8B" w:rsidRDefault="003A558B" w:rsidP="00720536">
            <w:pPr>
              <w:jc w:val="both"/>
            </w:pPr>
            <w:r>
              <w:t xml:space="preserve">Engineering Design:                       </w:t>
            </w:r>
          </w:p>
        </w:tc>
        <w:tc>
          <w:tcPr>
            <w:tcW w:w="5629" w:type="dxa"/>
          </w:tcPr>
          <w:p w:rsidR="003A558B" w:rsidRDefault="00C91F41" w:rsidP="00720536">
            <w:pPr>
              <w:jc w:val="both"/>
            </w:pPr>
            <w:r>
              <w:t>0</w:t>
            </w:r>
            <w:r w:rsidR="003A558B">
              <w:t>.0 credit units</w:t>
            </w:r>
          </w:p>
          <w:p w:rsidR="003A558B" w:rsidRDefault="00C91F41" w:rsidP="00720536">
            <w:pPr>
              <w:jc w:val="both"/>
            </w:pPr>
            <w:r>
              <w:t>3</w:t>
            </w:r>
            <w:r w:rsidR="003A558B">
              <w:t>.0 credit units</w:t>
            </w:r>
          </w:p>
          <w:p w:rsidR="003A558B" w:rsidRDefault="00C91F41" w:rsidP="00720536">
            <w:pPr>
              <w:jc w:val="both"/>
            </w:pPr>
            <w:r>
              <w:t>1</w:t>
            </w:r>
            <w:r w:rsidR="003A558B">
              <w:t>.0 credit units</w:t>
            </w:r>
            <w:bookmarkStart w:id="6" w:name="_GoBack"/>
            <w:bookmarkEnd w:id="6"/>
          </w:p>
        </w:tc>
      </w:tr>
    </w:tbl>
    <w:p w:rsidR="003A558B" w:rsidRDefault="003A558B" w:rsidP="00720536">
      <w:pPr>
        <w:spacing w:after="0" w:line="240" w:lineRule="auto"/>
      </w:pPr>
    </w:p>
    <w:tbl>
      <w:tblPr>
        <w:tblStyle w:val="TableGrid"/>
        <w:tblW w:w="11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9282"/>
      </w:tblGrid>
      <w:tr w:rsidR="006212BA" w:rsidTr="006C11B1">
        <w:tc>
          <w:tcPr>
            <w:tcW w:w="2076" w:type="dxa"/>
          </w:tcPr>
          <w:p w:rsidR="006212BA" w:rsidRPr="00611A3C" w:rsidRDefault="006212BA" w:rsidP="00720536">
            <w:pPr>
              <w:rPr>
                <w:b/>
              </w:rPr>
            </w:pPr>
            <w:r>
              <w:rPr>
                <w:b/>
              </w:rPr>
              <w:t xml:space="preserve">Prepared by:   </w:t>
            </w:r>
          </w:p>
        </w:tc>
        <w:tc>
          <w:tcPr>
            <w:tcW w:w="9282" w:type="dxa"/>
          </w:tcPr>
          <w:p w:rsidR="006212BA" w:rsidRDefault="006212BA" w:rsidP="00720536">
            <w:pPr>
              <w:jc w:val="both"/>
            </w:pPr>
            <w:proofErr w:type="spellStart"/>
            <w:r w:rsidRPr="003A558B">
              <w:t>Zoran</w:t>
            </w:r>
            <w:proofErr w:type="spellEnd"/>
            <w:r w:rsidRPr="003A558B">
              <w:t xml:space="preserve"> </w:t>
            </w:r>
            <w:proofErr w:type="spellStart"/>
            <w:r w:rsidRPr="003A558B">
              <w:t>Nenadic</w:t>
            </w:r>
            <w:proofErr w:type="spellEnd"/>
            <w:r>
              <w:t xml:space="preserve">, DSc;   </w:t>
            </w:r>
            <w:r w:rsidRPr="003A558B">
              <w:rPr>
                <w:b/>
              </w:rPr>
              <w:t>Date</w:t>
            </w:r>
            <w:r>
              <w:t>:   April 9, 2012</w:t>
            </w:r>
          </w:p>
        </w:tc>
      </w:tr>
    </w:tbl>
    <w:p w:rsidR="006212BA" w:rsidRDefault="006212BA" w:rsidP="00720536">
      <w:pPr>
        <w:spacing w:after="0" w:line="240" w:lineRule="auto"/>
      </w:pPr>
    </w:p>
    <w:tbl>
      <w:tblPr>
        <w:tblStyle w:val="TableGrid"/>
        <w:tblW w:w="11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9282"/>
      </w:tblGrid>
      <w:tr w:rsidR="006212BA" w:rsidTr="006C11B1">
        <w:tc>
          <w:tcPr>
            <w:tcW w:w="2076" w:type="dxa"/>
          </w:tcPr>
          <w:p w:rsidR="006212BA" w:rsidRPr="00611A3C" w:rsidRDefault="006212BA" w:rsidP="00720536">
            <w:pPr>
              <w:rPr>
                <w:b/>
              </w:rPr>
            </w:pPr>
            <w:r w:rsidRPr="003A558B">
              <w:rPr>
                <w:b/>
              </w:rPr>
              <w:t>Senate Approved</w:t>
            </w:r>
            <w:r>
              <w:t xml:space="preserve">:   </w:t>
            </w:r>
          </w:p>
        </w:tc>
        <w:tc>
          <w:tcPr>
            <w:tcW w:w="9282" w:type="dxa"/>
          </w:tcPr>
          <w:p w:rsidR="006212BA" w:rsidRDefault="006212BA" w:rsidP="00720536">
            <w:r>
              <w:t>June 2012</w:t>
            </w:r>
          </w:p>
        </w:tc>
      </w:tr>
    </w:tbl>
    <w:p w:rsidR="006212BA" w:rsidRDefault="006212BA" w:rsidP="00720536">
      <w:pPr>
        <w:spacing w:after="0" w:line="240" w:lineRule="auto"/>
      </w:pPr>
    </w:p>
    <w:tbl>
      <w:tblPr>
        <w:tblStyle w:val="TableGrid"/>
        <w:tblW w:w="11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9282"/>
      </w:tblGrid>
      <w:tr w:rsidR="0086029C" w:rsidTr="006C11B1">
        <w:tc>
          <w:tcPr>
            <w:tcW w:w="2076" w:type="dxa"/>
          </w:tcPr>
          <w:p w:rsidR="0086029C" w:rsidRPr="00611A3C" w:rsidRDefault="0086029C" w:rsidP="00720536">
            <w:pPr>
              <w:rPr>
                <w:b/>
              </w:rPr>
            </w:pPr>
            <w:r w:rsidRPr="00D979E8">
              <w:rPr>
                <w:b/>
              </w:rPr>
              <w:t>Approved Effective</w:t>
            </w:r>
            <w:r>
              <w:rPr>
                <w:b/>
              </w:rPr>
              <w:t>:</w:t>
            </w:r>
          </w:p>
        </w:tc>
        <w:tc>
          <w:tcPr>
            <w:tcW w:w="9282" w:type="dxa"/>
          </w:tcPr>
          <w:p w:rsidR="0086029C" w:rsidRDefault="0086029C" w:rsidP="00720536">
            <w:r>
              <w:t xml:space="preserve">2012 Fall </w:t>
            </w:r>
            <w:proofErr w:type="spellStart"/>
            <w:r>
              <w:t>Qtr</w:t>
            </w:r>
            <w:proofErr w:type="spellEnd"/>
          </w:p>
        </w:tc>
      </w:tr>
    </w:tbl>
    <w:p w:rsidR="0021149D" w:rsidRDefault="0021149D" w:rsidP="00720536">
      <w:pPr>
        <w:spacing w:after="0" w:line="240" w:lineRule="auto"/>
      </w:pPr>
    </w:p>
    <w:p w:rsidR="00C7441C" w:rsidRDefault="00C7441C" w:rsidP="00720536">
      <w:pPr>
        <w:spacing w:after="0" w:line="240" w:lineRule="auto"/>
      </w:pPr>
    </w:p>
    <w:sectPr w:rsidR="00C7441C" w:rsidSect="00611A3C">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zoran nenadic" w:date="2012-05-02T09:47:00Z" w:initials="zn">
    <w:p w:rsidR="006C11B1" w:rsidRDefault="006C11B1">
      <w:pPr>
        <w:pStyle w:val="CommentText"/>
      </w:pPr>
      <w:r>
        <w:rPr>
          <w:rStyle w:val="CommentReference"/>
        </w:rPr>
        <w:annotationRef/>
      </w:r>
      <w:r>
        <w:t>Changes to this entry are deadline sensitive (</w:t>
      </w:r>
      <w:proofErr w:type="spellStart"/>
      <w:r>
        <w:t>HSSoE</w:t>
      </w:r>
      <w:proofErr w:type="spellEnd"/>
      <w:r>
        <w:t xml:space="preserve"> deadline March 30, UCI deadline June 15)</w:t>
      </w:r>
    </w:p>
  </w:comment>
  <w:comment w:id="1" w:author="zoran nenadic" w:date="2012-05-09T17:14:00Z" w:initials="zn">
    <w:p w:rsidR="006C11B1" w:rsidRDefault="006C11B1">
      <w:pPr>
        <w:pStyle w:val="CommentText"/>
      </w:pPr>
      <w:r>
        <w:rPr>
          <w:rStyle w:val="CommentReference"/>
        </w:rPr>
        <w:annotationRef/>
      </w:r>
      <w:r>
        <w:t>Consult ABET background document for the definition of EAC Student Outcomes</w:t>
      </w:r>
    </w:p>
  </w:comment>
  <w:comment w:id="2" w:author="zoran nenadic" w:date="2012-05-02T09:52:00Z" w:initials="zn">
    <w:p w:rsidR="006C11B1" w:rsidRDefault="006C11B1">
      <w:pPr>
        <w:pStyle w:val="CommentText"/>
      </w:pPr>
      <w:r>
        <w:rPr>
          <w:rStyle w:val="CommentReference"/>
        </w:rPr>
        <w:annotationRef/>
      </w:r>
      <w:r>
        <w:t>Lecture topics should be listed by week.</w:t>
      </w:r>
    </w:p>
  </w:comment>
  <w:comment w:id="3" w:author="zoran nenadic" w:date="2012-05-09T16:37:00Z" w:initials="zn">
    <w:p w:rsidR="006C11B1" w:rsidRDefault="006C11B1" w:rsidP="00B41C10">
      <w:pPr>
        <w:pStyle w:val="CommentText"/>
      </w:pPr>
      <w:r>
        <w:rPr>
          <w:rStyle w:val="CommentReference"/>
        </w:rPr>
        <w:annotationRef/>
      </w:r>
      <w:r>
        <w:t>Should be as detailed as possible to ensure needed software is installed in the labs.</w:t>
      </w:r>
    </w:p>
  </w:comment>
  <w:comment w:id="4" w:author="zoran nenadic" w:date="2012-05-09T16:14:00Z" w:initials="zn">
    <w:p w:rsidR="006C11B1" w:rsidRDefault="006C11B1" w:rsidP="00FC10B9">
      <w:pPr>
        <w:pStyle w:val="CommentText"/>
      </w:pPr>
      <w:r>
        <w:rPr>
          <w:rStyle w:val="CommentReference"/>
        </w:rPr>
        <w:annotationRef/>
      </w:r>
      <w:r>
        <w:t>This section must be completed for those courses that have Design units</w:t>
      </w:r>
    </w:p>
    <w:p w:rsidR="006C11B1" w:rsidRDefault="006C11B1" w:rsidP="00FC10B9">
      <w:pPr>
        <w:pStyle w:val="CommentText"/>
      </w:pPr>
      <w:r>
        <w:t>(</w:t>
      </w:r>
      <w:proofErr w:type="gramStart"/>
      <w:r>
        <w:t>see</w:t>
      </w:r>
      <w:proofErr w:type="gramEnd"/>
      <w:r>
        <w:t xml:space="preserve"> Catalog Data entry)</w:t>
      </w:r>
    </w:p>
  </w:comment>
  <w:comment w:id="5" w:author="zoran nenadic" w:date="2012-05-09T16:46:00Z" w:initials="zn">
    <w:p w:rsidR="006C11B1" w:rsidRDefault="006C11B1">
      <w:pPr>
        <w:pStyle w:val="CommentText"/>
      </w:pPr>
      <w:r>
        <w:rPr>
          <w:rStyle w:val="CommentReference"/>
        </w:rPr>
        <w:annotationRef/>
      </w:r>
      <w:r>
        <w:t>Required by Academic Senate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20E3"/>
    <w:multiLevelType w:val="hybridMultilevel"/>
    <w:tmpl w:val="AEC0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87E77"/>
    <w:multiLevelType w:val="hybridMultilevel"/>
    <w:tmpl w:val="D37CE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2D2CA3"/>
    <w:multiLevelType w:val="hybridMultilevel"/>
    <w:tmpl w:val="A0C07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3668CB"/>
    <w:multiLevelType w:val="hybridMultilevel"/>
    <w:tmpl w:val="D37CE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3E7F33"/>
    <w:multiLevelType w:val="hybridMultilevel"/>
    <w:tmpl w:val="3A2056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8642C0"/>
    <w:multiLevelType w:val="hybridMultilevel"/>
    <w:tmpl w:val="0F104F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A3C"/>
    <w:rsid w:val="00012DE7"/>
    <w:rsid w:val="000825FC"/>
    <w:rsid w:val="00085718"/>
    <w:rsid w:val="000A3491"/>
    <w:rsid w:val="001B2E28"/>
    <w:rsid w:val="001E2BC4"/>
    <w:rsid w:val="0021149D"/>
    <w:rsid w:val="00221A80"/>
    <w:rsid w:val="00257E42"/>
    <w:rsid w:val="00281349"/>
    <w:rsid w:val="002963A9"/>
    <w:rsid w:val="002F003B"/>
    <w:rsid w:val="00342F1C"/>
    <w:rsid w:val="003A558B"/>
    <w:rsid w:val="003C0FBE"/>
    <w:rsid w:val="00454C9A"/>
    <w:rsid w:val="004C16AF"/>
    <w:rsid w:val="00512D02"/>
    <w:rsid w:val="00563FA3"/>
    <w:rsid w:val="00611A3C"/>
    <w:rsid w:val="006212BA"/>
    <w:rsid w:val="00626DE0"/>
    <w:rsid w:val="006C11B1"/>
    <w:rsid w:val="006C19EF"/>
    <w:rsid w:val="006E2B01"/>
    <w:rsid w:val="00720536"/>
    <w:rsid w:val="0072227D"/>
    <w:rsid w:val="00736A07"/>
    <w:rsid w:val="00806614"/>
    <w:rsid w:val="0084679A"/>
    <w:rsid w:val="0086029C"/>
    <w:rsid w:val="008D5636"/>
    <w:rsid w:val="008F444D"/>
    <w:rsid w:val="00962670"/>
    <w:rsid w:val="00A51EBB"/>
    <w:rsid w:val="00A70CDB"/>
    <w:rsid w:val="00B30F37"/>
    <w:rsid w:val="00B41C10"/>
    <w:rsid w:val="00BC3F8B"/>
    <w:rsid w:val="00BF4EDA"/>
    <w:rsid w:val="00C7253B"/>
    <w:rsid w:val="00C7441C"/>
    <w:rsid w:val="00C91F41"/>
    <w:rsid w:val="00CC0510"/>
    <w:rsid w:val="00D03815"/>
    <w:rsid w:val="00D979E8"/>
    <w:rsid w:val="00DC4306"/>
    <w:rsid w:val="00DC6398"/>
    <w:rsid w:val="00E00EC5"/>
    <w:rsid w:val="00E16883"/>
    <w:rsid w:val="00E3153E"/>
    <w:rsid w:val="00E65A87"/>
    <w:rsid w:val="00EB488A"/>
    <w:rsid w:val="00EF6408"/>
    <w:rsid w:val="00F10631"/>
    <w:rsid w:val="00F164F8"/>
    <w:rsid w:val="00F37EEA"/>
    <w:rsid w:val="00FC1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1A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11A3C"/>
    <w:rPr>
      <w:sz w:val="16"/>
      <w:szCs w:val="16"/>
    </w:rPr>
  </w:style>
  <w:style w:type="paragraph" w:styleId="CommentText">
    <w:name w:val="annotation text"/>
    <w:basedOn w:val="Normal"/>
    <w:link w:val="CommentTextChar"/>
    <w:uiPriority w:val="99"/>
    <w:unhideWhenUsed/>
    <w:rsid w:val="00611A3C"/>
    <w:pPr>
      <w:spacing w:line="240" w:lineRule="auto"/>
    </w:pPr>
    <w:rPr>
      <w:sz w:val="20"/>
      <w:szCs w:val="20"/>
    </w:rPr>
  </w:style>
  <w:style w:type="character" w:customStyle="1" w:styleId="CommentTextChar">
    <w:name w:val="Comment Text Char"/>
    <w:basedOn w:val="DefaultParagraphFont"/>
    <w:link w:val="CommentText"/>
    <w:uiPriority w:val="99"/>
    <w:rsid w:val="00611A3C"/>
    <w:rPr>
      <w:sz w:val="20"/>
      <w:szCs w:val="20"/>
    </w:rPr>
  </w:style>
  <w:style w:type="paragraph" w:styleId="CommentSubject">
    <w:name w:val="annotation subject"/>
    <w:basedOn w:val="CommentText"/>
    <w:next w:val="CommentText"/>
    <w:link w:val="CommentSubjectChar"/>
    <w:uiPriority w:val="99"/>
    <w:semiHidden/>
    <w:unhideWhenUsed/>
    <w:rsid w:val="00611A3C"/>
    <w:rPr>
      <w:b/>
      <w:bCs/>
    </w:rPr>
  </w:style>
  <w:style w:type="character" w:customStyle="1" w:styleId="CommentSubjectChar">
    <w:name w:val="Comment Subject Char"/>
    <w:basedOn w:val="CommentTextChar"/>
    <w:link w:val="CommentSubject"/>
    <w:uiPriority w:val="99"/>
    <w:semiHidden/>
    <w:rsid w:val="00611A3C"/>
    <w:rPr>
      <w:b/>
      <w:bCs/>
      <w:sz w:val="20"/>
      <w:szCs w:val="20"/>
    </w:rPr>
  </w:style>
  <w:style w:type="paragraph" w:styleId="BalloonText">
    <w:name w:val="Balloon Text"/>
    <w:basedOn w:val="Normal"/>
    <w:link w:val="BalloonTextChar"/>
    <w:uiPriority w:val="99"/>
    <w:semiHidden/>
    <w:unhideWhenUsed/>
    <w:rsid w:val="00611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A3C"/>
    <w:rPr>
      <w:rFonts w:ascii="Tahoma" w:hAnsi="Tahoma" w:cs="Tahoma"/>
      <w:sz w:val="16"/>
      <w:szCs w:val="16"/>
    </w:rPr>
  </w:style>
  <w:style w:type="character" w:styleId="Hyperlink">
    <w:name w:val="Hyperlink"/>
    <w:basedOn w:val="DefaultParagraphFont"/>
    <w:uiPriority w:val="99"/>
    <w:semiHidden/>
    <w:unhideWhenUsed/>
    <w:rsid w:val="008F444D"/>
    <w:rPr>
      <w:color w:val="0000FF"/>
      <w:u w:val="single"/>
    </w:rPr>
  </w:style>
  <w:style w:type="paragraph" w:styleId="ListParagraph">
    <w:name w:val="List Paragraph"/>
    <w:basedOn w:val="Normal"/>
    <w:uiPriority w:val="34"/>
    <w:qFormat/>
    <w:rsid w:val="006C19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1A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11A3C"/>
    <w:rPr>
      <w:sz w:val="16"/>
      <w:szCs w:val="16"/>
    </w:rPr>
  </w:style>
  <w:style w:type="paragraph" w:styleId="CommentText">
    <w:name w:val="annotation text"/>
    <w:basedOn w:val="Normal"/>
    <w:link w:val="CommentTextChar"/>
    <w:uiPriority w:val="99"/>
    <w:unhideWhenUsed/>
    <w:rsid w:val="00611A3C"/>
    <w:pPr>
      <w:spacing w:line="240" w:lineRule="auto"/>
    </w:pPr>
    <w:rPr>
      <w:sz w:val="20"/>
      <w:szCs w:val="20"/>
    </w:rPr>
  </w:style>
  <w:style w:type="character" w:customStyle="1" w:styleId="CommentTextChar">
    <w:name w:val="Comment Text Char"/>
    <w:basedOn w:val="DefaultParagraphFont"/>
    <w:link w:val="CommentText"/>
    <w:uiPriority w:val="99"/>
    <w:rsid w:val="00611A3C"/>
    <w:rPr>
      <w:sz w:val="20"/>
      <w:szCs w:val="20"/>
    </w:rPr>
  </w:style>
  <w:style w:type="paragraph" w:styleId="CommentSubject">
    <w:name w:val="annotation subject"/>
    <w:basedOn w:val="CommentText"/>
    <w:next w:val="CommentText"/>
    <w:link w:val="CommentSubjectChar"/>
    <w:uiPriority w:val="99"/>
    <w:semiHidden/>
    <w:unhideWhenUsed/>
    <w:rsid w:val="00611A3C"/>
    <w:rPr>
      <w:b/>
      <w:bCs/>
    </w:rPr>
  </w:style>
  <w:style w:type="character" w:customStyle="1" w:styleId="CommentSubjectChar">
    <w:name w:val="Comment Subject Char"/>
    <w:basedOn w:val="CommentTextChar"/>
    <w:link w:val="CommentSubject"/>
    <w:uiPriority w:val="99"/>
    <w:semiHidden/>
    <w:rsid w:val="00611A3C"/>
    <w:rPr>
      <w:b/>
      <w:bCs/>
      <w:sz w:val="20"/>
      <w:szCs w:val="20"/>
    </w:rPr>
  </w:style>
  <w:style w:type="paragraph" w:styleId="BalloonText">
    <w:name w:val="Balloon Text"/>
    <w:basedOn w:val="Normal"/>
    <w:link w:val="BalloonTextChar"/>
    <w:uiPriority w:val="99"/>
    <w:semiHidden/>
    <w:unhideWhenUsed/>
    <w:rsid w:val="00611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A3C"/>
    <w:rPr>
      <w:rFonts w:ascii="Tahoma" w:hAnsi="Tahoma" w:cs="Tahoma"/>
      <w:sz w:val="16"/>
      <w:szCs w:val="16"/>
    </w:rPr>
  </w:style>
  <w:style w:type="character" w:styleId="Hyperlink">
    <w:name w:val="Hyperlink"/>
    <w:basedOn w:val="DefaultParagraphFont"/>
    <w:uiPriority w:val="99"/>
    <w:semiHidden/>
    <w:unhideWhenUsed/>
    <w:rsid w:val="008F444D"/>
    <w:rPr>
      <w:color w:val="0000FF"/>
      <w:u w:val="single"/>
    </w:rPr>
  </w:style>
  <w:style w:type="paragraph" w:styleId="ListParagraph">
    <w:name w:val="List Paragraph"/>
    <w:basedOn w:val="Normal"/>
    <w:uiPriority w:val="34"/>
    <w:qFormat/>
    <w:rsid w:val="006C1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1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athworks.com/products/matla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662</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 nenadic</dc:creator>
  <cp:lastModifiedBy>zoran nenadic</cp:lastModifiedBy>
  <cp:revision>50</cp:revision>
  <cp:lastPrinted>2012-05-10T07:53:00Z</cp:lastPrinted>
  <dcterms:created xsi:type="dcterms:W3CDTF">2012-04-18T18:08:00Z</dcterms:created>
  <dcterms:modified xsi:type="dcterms:W3CDTF">2012-05-10T07:55:00Z</dcterms:modified>
</cp:coreProperties>
</file>